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1F27C8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</w:t>
      </w:r>
      <w:r w:rsidR="005460FB">
        <w:rPr>
          <w:rFonts w:ascii="Arial" w:hAnsi="Arial" w:cs="Arial"/>
          <w:b/>
          <w:sz w:val="22"/>
          <w:szCs w:val="22"/>
        </w:rPr>
        <w:t>5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5460FB" w:rsidRPr="005460FB">
        <w:rPr>
          <w:rFonts w:ascii="Arial" w:hAnsi="Arial" w:cs="Arial"/>
          <w:b/>
          <w:sz w:val="22"/>
          <w:szCs w:val="22"/>
        </w:rPr>
        <w:t>SUMINISTRO, HABILITADO, Y COLOCACIÓN DE PUNTAL PROVISIONAL,</w:t>
      </w:r>
      <w:r w:rsidR="00F81046">
        <w:rPr>
          <w:rFonts w:ascii="Arial" w:hAnsi="Arial" w:cs="Arial"/>
          <w:b/>
          <w:sz w:val="22"/>
          <w:szCs w:val="22"/>
        </w:rPr>
        <w:t xml:space="preserve"> 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5460FB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5460FB" w:rsidRPr="005460FB">
        <w:rPr>
          <w:rFonts w:ascii="Arial" w:hAnsi="Arial" w:cs="Arial"/>
          <w:sz w:val="22"/>
          <w:szCs w:val="22"/>
        </w:rPr>
        <w:t xml:space="preserve">colocación de puntal provisional en </w:t>
      </w:r>
      <w:r w:rsidR="00422592">
        <w:rPr>
          <w:rFonts w:ascii="Arial" w:hAnsi="Arial" w:cs="Arial"/>
          <w:sz w:val="22"/>
          <w:szCs w:val="22"/>
        </w:rPr>
        <w:t>diversas zonas donde el proyecto lo requiera</w:t>
      </w:r>
      <w:bookmarkStart w:id="0" w:name="_GoBack"/>
      <w:bookmarkEnd w:id="0"/>
      <w:r w:rsidR="005460FB" w:rsidRPr="005460FB">
        <w:rPr>
          <w:rFonts w:ascii="Arial" w:hAnsi="Arial" w:cs="Arial"/>
          <w:sz w:val="22"/>
          <w:szCs w:val="22"/>
        </w:rPr>
        <w:t xml:space="preserve">, </w:t>
      </w:r>
      <w:r w:rsidR="005460FB">
        <w:rPr>
          <w:rFonts w:ascii="Arial" w:hAnsi="Arial" w:cs="Arial"/>
          <w:sz w:val="22"/>
          <w:szCs w:val="22"/>
        </w:rPr>
        <w:t>será d</w:t>
      </w:r>
      <w:r w:rsidR="005460FB" w:rsidRPr="005460FB">
        <w:rPr>
          <w:rFonts w:ascii="Arial" w:hAnsi="Arial" w:cs="Arial"/>
          <w:sz w:val="22"/>
          <w:szCs w:val="22"/>
        </w:rPr>
        <w:t xml:space="preserve">e perfil estructural de acero o de sección cajón a base de placa de acero ASTM A572 grado 50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fy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 de 3450 kg/cm2 con los espesores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indidados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 en proyecto, con unión a base de placas y tornillos ASTM F568M CLASE 10.9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fy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 de 9400 kg/cm2, con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rigidizadores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 en las partes extremas a base de perfil estructural de acero ASTM A572 grado 50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fy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 de 3450 kg/cm2 de la sección indicada en proyecto, y placa base para anclaje a muro Milán con los orificios correspondientes, con recup</w:t>
      </w:r>
      <w:r w:rsidR="005460FB">
        <w:rPr>
          <w:rFonts w:ascii="Arial" w:hAnsi="Arial" w:cs="Arial"/>
          <w:sz w:val="22"/>
          <w:szCs w:val="22"/>
        </w:rPr>
        <w:t>eración a favor del contratista.</w:t>
      </w:r>
    </w:p>
    <w:p w:rsidR="00EF5509" w:rsidRPr="00881484" w:rsidRDefault="00EF5509" w:rsidP="0088148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881484" w:rsidRPr="00881484" w:rsidRDefault="00881484" w:rsidP="0088148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881484">
        <w:rPr>
          <w:rFonts w:ascii="Arial" w:hAnsi="Arial" w:cs="Arial"/>
          <w:sz w:val="22"/>
          <w:szCs w:val="22"/>
        </w:rPr>
        <w:t xml:space="preserve">La fijación del puntal, </w:t>
      </w:r>
      <w:r>
        <w:rPr>
          <w:rFonts w:ascii="Arial" w:hAnsi="Arial" w:cs="Arial"/>
          <w:sz w:val="22"/>
          <w:szCs w:val="22"/>
        </w:rPr>
        <w:t xml:space="preserve">se realizará con </w:t>
      </w:r>
      <w:r w:rsidRPr="00881484">
        <w:rPr>
          <w:rFonts w:ascii="Arial" w:hAnsi="Arial" w:cs="Arial"/>
          <w:sz w:val="22"/>
          <w:szCs w:val="22"/>
        </w:rPr>
        <w:t xml:space="preserve">anclaje mecánico marca HILTI o similar equivalente HST-R-M24X200/30 para fijar puntal provisional de acero a muro Milán, colocado al torque que indique el proyecto a la recomendación del fabricante, en zona de pozo de </w:t>
      </w:r>
      <w:proofErr w:type="spellStart"/>
      <w:r w:rsidRPr="00881484">
        <w:rPr>
          <w:rFonts w:ascii="Arial" w:hAnsi="Arial" w:cs="Arial"/>
          <w:sz w:val="22"/>
          <w:szCs w:val="22"/>
        </w:rPr>
        <w:t>tuneladora</w:t>
      </w:r>
      <w:proofErr w:type="spellEnd"/>
      <w:r w:rsidRPr="00881484">
        <w:rPr>
          <w:rFonts w:ascii="Arial" w:hAnsi="Arial" w:cs="Arial"/>
          <w:sz w:val="22"/>
          <w:szCs w:val="22"/>
        </w:rPr>
        <w:t>,</w:t>
      </w:r>
    </w:p>
    <w:p w:rsidR="005460FB" w:rsidRPr="00881484" w:rsidRDefault="005460FB" w:rsidP="0088148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5460FB">
        <w:rPr>
          <w:rFonts w:ascii="Arial" w:hAnsi="Arial" w:cs="Arial"/>
          <w:bCs/>
          <w:sz w:val="22"/>
          <w:szCs w:val="22"/>
        </w:rPr>
        <w:t xml:space="preserve"> la</w:t>
      </w:r>
      <w:r w:rsidR="005460FB" w:rsidRPr="005460FB">
        <w:rPr>
          <w:rFonts w:ascii="Arial" w:hAnsi="Arial" w:cs="Arial"/>
          <w:bCs/>
          <w:sz w:val="22"/>
          <w:szCs w:val="22"/>
        </w:rPr>
        <w:t xml:space="preserve"> colocación de puntal provisional en zona de pozo de </w:t>
      </w:r>
      <w:proofErr w:type="spellStart"/>
      <w:r w:rsidR="005460FB" w:rsidRPr="005460FB">
        <w:rPr>
          <w:rFonts w:ascii="Arial" w:hAnsi="Arial" w:cs="Arial"/>
          <w:bCs/>
          <w:sz w:val="22"/>
          <w:szCs w:val="22"/>
        </w:rPr>
        <w:t>tuneladora</w:t>
      </w:r>
      <w:proofErr w:type="spellEnd"/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5460FB">
        <w:rPr>
          <w:rFonts w:ascii="Arial" w:hAnsi="Arial" w:cs="Arial"/>
          <w:sz w:val="22"/>
          <w:szCs w:val="22"/>
        </w:rPr>
        <w:t>kilogramo</w:t>
      </w:r>
      <w:r w:rsidR="00EF5509">
        <w:rPr>
          <w:rFonts w:ascii="Arial" w:hAnsi="Arial" w:cs="Arial"/>
          <w:sz w:val="22"/>
          <w:szCs w:val="22"/>
        </w:rPr>
        <w:t xml:space="preserve"> </w:t>
      </w:r>
      <w:r w:rsidR="005460FB">
        <w:rPr>
          <w:rFonts w:ascii="Arial" w:hAnsi="Arial" w:cs="Arial"/>
          <w:sz w:val="22"/>
          <w:szCs w:val="22"/>
        </w:rPr>
        <w:t>(Kg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</w:t>
      </w:r>
      <w:proofErr w:type="gramStart"/>
      <w:r w:rsidR="00CF12D3" w:rsidRPr="000A727D">
        <w:rPr>
          <w:rFonts w:ascii="Arial" w:hAnsi="Arial" w:cs="Arial"/>
          <w:sz w:val="22"/>
          <w:szCs w:val="22"/>
        </w:rPr>
        <w:t>previamente</w:t>
      </w:r>
      <w:proofErr w:type="gramEnd"/>
      <w:r w:rsidR="00CF12D3" w:rsidRPr="000A727D">
        <w:rPr>
          <w:rFonts w:ascii="Arial" w:hAnsi="Arial" w:cs="Arial"/>
          <w:sz w:val="22"/>
          <w:szCs w:val="22"/>
        </w:rPr>
        <w:t xml:space="preserve">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5460FB" w:rsidRPr="005460FB">
        <w:rPr>
          <w:rFonts w:ascii="Arial" w:hAnsi="Arial" w:cs="Arial"/>
          <w:sz w:val="22"/>
          <w:szCs w:val="22"/>
        </w:rPr>
        <w:t xml:space="preserve">el suministro del perfil estructural, y placa de acuerdo a las características indicadas en proyecto,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rigidizadores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, mermas, desperdicios y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descalibre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, soldadura, </w:t>
      </w:r>
      <w:proofErr w:type="spellStart"/>
      <w:r w:rsidR="005460FB" w:rsidRPr="005460FB">
        <w:rPr>
          <w:rFonts w:ascii="Arial" w:hAnsi="Arial" w:cs="Arial"/>
          <w:sz w:val="22"/>
          <w:szCs w:val="22"/>
        </w:rPr>
        <w:t>atiezadores</w:t>
      </w:r>
      <w:proofErr w:type="spellEnd"/>
      <w:r w:rsidR="005460FB" w:rsidRPr="005460FB">
        <w:rPr>
          <w:rFonts w:ascii="Arial" w:hAnsi="Arial" w:cs="Arial"/>
          <w:sz w:val="22"/>
          <w:szCs w:val="22"/>
        </w:rPr>
        <w:t xml:space="preserve">, uniones, tornillos y tuercas colocados al torque indicado en proyecto, las pruebas de calidad necesarias, pintura anticorrosiva y materiales de menor consumo; la parte proporcional del número de usos, la mano de obra para trazo, corte, habilitado, presentación, armado, esmerilado, soldado, limpieza, acarreo libre horizontal y/o vertical, la limpieza, las pruebas de calidad necesarias y aplicación de pintura anticorrosiva; los costos de los permisos y licencias para realizar el traslado en las condiciones autorizadas, las maniobras necesarias en cuanto a posiciones de equipos y traspaleos del elemento; los tiempos en activo, en espera y muertos para dar cumplimiento al proceso constructivo y las condiciones de uso de vía pública y todo </w:t>
      </w:r>
      <w:r w:rsidR="001F27C8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67DC"/>
    <w:rsid w:val="00327A8D"/>
    <w:rsid w:val="003343E2"/>
    <w:rsid w:val="00357516"/>
    <w:rsid w:val="00386B5C"/>
    <w:rsid w:val="003B122D"/>
    <w:rsid w:val="003B1573"/>
    <w:rsid w:val="00422592"/>
    <w:rsid w:val="00471543"/>
    <w:rsid w:val="00485B89"/>
    <w:rsid w:val="004B31B7"/>
    <w:rsid w:val="004C17BB"/>
    <w:rsid w:val="004C3664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B57FE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5</cp:revision>
  <dcterms:created xsi:type="dcterms:W3CDTF">2014-04-08T21:59:00Z</dcterms:created>
  <dcterms:modified xsi:type="dcterms:W3CDTF">2014-04-09T14:50:00Z</dcterms:modified>
</cp:coreProperties>
</file>